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FBD" w:rsidRPr="00787BF1" w:rsidRDefault="001F1FBD" w:rsidP="001F1FBD">
      <w:pPr>
        <w:pStyle w:val="Heading2"/>
      </w:pPr>
      <w:bookmarkStart w:id="0" w:name="_Toc155342973"/>
      <w:bookmarkStart w:id="1" w:name="_GoBack"/>
      <w:r w:rsidRPr="00787BF1">
        <w:rPr>
          <w:b/>
          <w:sz w:val="24"/>
          <w:szCs w:val="24"/>
        </w:rPr>
        <w:t xml:space="preserve">295. VÙNG ĐẶC QUYỀN KINH TẾ </w:t>
      </w:r>
      <w:bookmarkEnd w:id="1"/>
      <w:r w:rsidRPr="00787BF1">
        <w:rPr>
          <w:i/>
        </w:rPr>
        <w:t>(A. Exclusive Economic Zone</w:t>
      </w:r>
      <w:r w:rsidRPr="00787BF1">
        <w:t xml:space="preserve">), vùng biển thuộc quyền chủ quyền của các quốc gia ven biển (hay quốc gia quần đảo), các quyền cũng như các quyền tự do của các quốc gia khác đều được điều chỉnh bởi các quy định thích hợp của Công ước </w:t>
      </w:r>
      <w:r>
        <w:t>Liên hợp quốc</w:t>
      </w:r>
      <w:r w:rsidRPr="00787BF1">
        <w:t xml:space="preserve"> về luật biển năm 1982, có chiều rộng 200 hải lý (khoảng 370,4 km) tính từ đường cơ sở, ngoại trừ những chỗ mà các điểm tạo ra đó tiếp giáp với các quốc gia khác.</w:t>
      </w:r>
      <w:bookmarkEnd w:id="0"/>
      <w:r w:rsidRPr="00787BF1">
        <w:t xml:space="preserve"> </w:t>
      </w:r>
    </w:p>
    <w:p w:rsidR="001F1FBD" w:rsidRPr="00787BF1" w:rsidRDefault="001F1FBD" w:rsidP="001F1FBD">
      <w:pPr>
        <w:widowControl w:val="0"/>
        <w:autoSpaceDE w:val="0"/>
        <w:autoSpaceDN w:val="0"/>
        <w:adjustRightInd w:val="0"/>
        <w:spacing w:before="120"/>
        <w:ind w:firstLine="284"/>
        <w:jc w:val="both"/>
        <w:rPr>
          <w:rFonts w:eastAsia="SimSun"/>
          <w:szCs w:val="28"/>
        </w:rPr>
      </w:pPr>
      <w:r w:rsidRPr="00787BF1">
        <w:rPr>
          <w:rFonts w:eastAsia="SimSun"/>
          <w:szCs w:val="28"/>
        </w:rPr>
        <w:t xml:space="preserve">Trong khu vực đặc quyền kinh tế, quốc gia có đặc quyền khai thác và sử dụng các tài nguyên biển.VĐQKT cho phép kiểm soát tốt hơn các vấn đề trên biển (nằm ngoài giới hạn lãnh thổ mà quốc gia có đầy đủ chủ quyền) đã thu được sự chấp thuận của đa số quốc gia vào cuối thế kỷ XX và đã được thừa nhận quốc tế theo Công ước </w:t>
      </w:r>
      <w:r>
        <w:rPr>
          <w:rFonts w:eastAsia="SimSun"/>
          <w:szCs w:val="28"/>
        </w:rPr>
        <w:t>Liên hợp quốc</w:t>
      </w:r>
      <w:r w:rsidRPr="00787BF1">
        <w:rPr>
          <w:rFonts w:eastAsia="SimSun"/>
          <w:szCs w:val="28"/>
        </w:rPr>
        <w:t xml:space="preserve"> về luật biển năm 1982.</w:t>
      </w:r>
    </w:p>
    <w:p w:rsidR="001F1FBD" w:rsidRPr="00787BF1" w:rsidRDefault="001F1FBD" w:rsidP="001F1FBD">
      <w:pPr>
        <w:widowControl w:val="0"/>
        <w:autoSpaceDE w:val="0"/>
        <w:autoSpaceDN w:val="0"/>
        <w:adjustRightInd w:val="0"/>
        <w:spacing w:before="120"/>
        <w:ind w:firstLine="284"/>
        <w:jc w:val="both"/>
        <w:rPr>
          <w:rFonts w:eastAsia="SimSun"/>
          <w:szCs w:val="28"/>
        </w:rPr>
      </w:pPr>
      <w:r w:rsidRPr="00787BF1">
        <w:rPr>
          <w:rFonts w:eastAsia="SimSun"/>
          <w:szCs w:val="28"/>
        </w:rPr>
        <w:t xml:space="preserve">Điều 55, phần V Công ước </w:t>
      </w:r>
      <w:r>
        <w:rPr>
          <w:rFonts w:eastAsia="SimSun"/>
          <w:szCs w:val="28"/>
        </w:rPr>
        <w:t>Liên hợp quốc</w:t>
      </w:r>
      <w:r w:rsidRPr="00787BF1">
        <w:rPr>
          <w:rFonts w:eastAsia="SimSun"/>
          <w:szCs w:val="28"/>
        </w:rPr>
        <w:t xml:space="preserve"> về luật biển năm 1982 quy định:"Chế độ pháp lý đặc biệt cho vùng đặc quyền kinh tế. Vùng đặc quyền kinh tế là vùng nằm ngoài và tiếp giáp với lãnh hải, là chủ thể của chế độ pháp lý đặc biệt được đưa ra tại phần này, theo đó các quyền và quyền tài phán của quốc gia ven biển và các quyền cũng như quyền tự do của quốc gia khác được điều chỉnh bởi các điều khoản liên quan của Công ước này. Quản lý nghề cá là một bộ phận đáng kể nhất của việc kiểm soát này".</w:t>
      </w:r>
    </w:p>
    <w:p w:rsidR="001F1FBD" w:rsidRPr="00787BF1" w:rsidRDefault="001F1FBD" w:rsidP="001F1FBD">
      <w:pPr>
        <w:widowControl w:val="0"/>
        <w:autoSpaceDE w:val="0"/>
        <w:autoSpaceDN w:val="0"/>
        <w:adjustRightInd w:val="0"/>
        <w:spacing w:before="120"/>
        <w:ind w:firstLine="284"/>
        <w:jc w:val="both"/>
        <w:rPr>
          <w:rFonts w:eastAsia="SimSun"/>
          <w:szCs w:val="28"/>
        </w:rPr>
      </w:pPr>
      <w:r w:rsidRPr="00787BF1">
        <w:rPr>
          <w:rFonts w:eastAsia="SimSun"/>
          <w:szCs w:val="28"/>
        </w:rPr>
        <w:t>Các tranh cãi về mở rộng chính xác của các VĐQKT là nguồn chủ yếu của các mâu thuẫn giữa các quốc gia về biển. Ví dụ nổi tiếng nhất ở Châu Âu có lẽ là chiến tranh cá tuyết giữa Iceland và Vương quốc Liên hiệp Anh và Bắc Ireland năm 1893.</w:t>
      </w:r>
    </w:p>
    <w:p w:rsidR="001F1FBD" w:rsidRPr="00787BF1" w:rsidRDefault="001F1FBD" w:rsidP="001F1FBD">
      <w:pPr>
        <w:widowControl w:val="0"/>
        <w:autoSpaceDE w:val="0"/>
        <w:autoSpaceDN w:val="0"/>
        <w:adjustRightInd w:val="0"/>
        <w:spacing w:before="120"/>
        <w:ind w:firstLine="284"/>
        <w:jc w:val="both"/>
        <w:rPr>
          <w:rFonts w:eastAsia="SimSun"/>
          <w:szCs w:val="28"/>
        </w:rPr>
      </w:pPr>
      <w:r w:rsidRPr="00787BF1">
        <w:rPr>
          <w:rFonts w:eastAsia="SimSun"/>
          <w:szCs w:val="28"/>
        </w:rPr>
        <w:t>Khái niệm và sự hình thành của vùng này bắt nguồn từ sự kiện tổng thống Mỹ Truman ngày 28.9.1945 đã đưa ra một tuyên bố về nghề cá ven bờ trong một số vùng của biển cả. Trong đó, Mỹ đề nghị thiết lập một vùng bảo tồn một phần nhất định của biển cả tiếp giáp với bờ biển nước Mỹ, tại đó các hoạt động nghề cá đã và sẽ phát triển trong tương lai ở mức độ quan trọng nằm ngoài lãnh hải 3 hải lý của Mỹ.</w:t>
      </w:r>
    </w:p>
    <w:p w:rsidR="001F1FBD" w:rsidRPr="00787BF1" w:rsidRDefault="001F1FBD" w:rsidP="001F1FBD">
      <w:pPr>
        <w:widowControl w:val="0"/>
        <w:autoSpaceDE w:val="0"/>
        <w:autoSpaceDN w:val="0"/>
        <w:adjustRightInd w:val="0"/>
        <w:spacing w:before="120"/>
        <w:ind w:firstLine="284"/>
        <w:jc w:val="both"/>
        <w:rPr>
          <w:rFonts w:eastAsia="SimSun"/>
          <w:szCs w:val="28"/>
        </w:rPr>
      </w:pPr>
      <w:r w:rsidRPr="00787BF1">
        <w:rPr>
          <w:rFonts w:eastAsia="SimSun"/>
          <w:szCs w:val="28"/>
        </w:rPr>
        <w:t>Tiếp đó, các nước khu vực châu Mỹ-Latinh như Chile, Peru, Ecuador đã mở rộng lãnh hải tới 200 hải lý dưới các tên gọi như vùng biển di sản, lãnh hải di sản v.v. để loại bỏ quyền tự do hàng hải và các quyền tự do biển cả khác. Tình hình này gây ra sự lo ngại và chống đối từ các quốc gia có nghề hàng hải phát triển mạnh.</w:t>
      </w:r>
    </w:p>
    <w:p w:rsidR="001F1FBD" w:rsidRPr="00787BF1" w:rsidRDefault="001F1FBD" w:rsidP="001F1FBD">
      <w:pPr>
        <w:widowControl w:val="0"/>
        <w:autoSpaceDE w:val="0"/>
        <w:autoSpaceDN w:val="0"/>
        <w:adjustRightInd w:val="0"/>
        <w:spacing w:before="120"/>
        <w:ind w:firstLine="284"/>
        <w:jc w:val="both"/>
        <w:rPr>
          <w:rFonts w:eastAsia="SimSun"/>
          <w:szCs w:val="28"/>
        </w:rPr>
      </w:pPr>
      <w:r w:rsidRPr="00787BF1">
        <w:rPr>
          <w:rFonts w:eastAsia="SimSun"/>
          <w:szCs w:val="28"/>
        </w:rPr>
        <w:t>Năm 1971, Kenya và sau đó là các nước khu vực Á-Phi đã đưa ra đề nghị trung hòa cả hai lập trường trên bằng khái niệm VĐQKT, trong đó các quốc gia ven biển có thẩm quyền đặc biệt trong kiểm soát, quy định, khai thác và bảo vệ các tài nguyên sinh vật cũng như phi sinh vật của vùng để ngăn ngừa và đấu tranh chống lại ô nhiễm, trong khi các quyền tự do hàng hải, tự do bay, tự do đặt dây cáp hay ống dẫn dầu dưới đáy biển vẫn được bảo lưu.</w:t>
      </w:r>
    </w:p>
    <w:p w:rsidR="001F1FBD" w:rsidRPr="00787BF1" w:rsidRDefault="001F1FBD" w:rsidP="001F1FBD">
      <w:pPr>
        <w:widowControl w:val="0"/>
        <w:autoSpaceDE w:val="0"/>
        <w:autoSpaceDN w:val="0"/>
        <w:adjustRightInd w:val="0"/>
        <w:spacing w:before="120"/>
        <w:ind w:firstLine="284"/>
        <w:jc w:val="both"/>
        <w:rPr>
          <w:rFonts w:eastAsia="SimSun"/>
          <w:szCs w:val="28"/>
        </w:rPr>
      </w:pPr>
      <w:r w:rsidRPr="00787BF1">
        <w:rPr>
          <w:rFonts w:eastAsia="SimSun"/>
          <w:szCs w:val="28"/>
        </w:rPr>
        <w:t xml:space="preserve">Khái niệm này đã nhanh chóng được chấp nhận mà không có sự phản đối nào và nó có giá trị tập quán trước khi được ghi nhận trong Công ước </w:t>
      </w:r>
      <w:r>
        <w:rPr>
          <w:rFonts w:eastAsia="SimSun"/>
          <w:szCs w:val="28"/>
        </w:rPr>
        <w:t>Liên hợp quốc</w:t>
      </w:r>
      <w:r w:rsidRPr="00787BF1">
        <w:rPr>
          <w:rFonts w:eastAsia="SimSun"/>
          <w:szCs w:val="28"/>
        </w:rPr>
        <w:t xml:space="preserve"> </w:t>
      </w:r>
      <w:r w:rsidRPr="00787BF1">
        <w:rPr>
          <w:rFonts w:eastAsia="SimSun"/>
          <w:szCs w:val="28"/>
        </w:rPr>
        <w:lastRenderedPageBreak/>
        <w:t>về luật biển năm 1982.</w:t>
      </w:r>
    </w:p>
    <w:p w:rsidR="001F1FBD" w:rsidRPr="00787BF1" w:rsidRDefault="001F1FBD" w:rsidP="001F1FBD">
      <w:pPr>
        <w:widowControl w:val="0"/>
        <w:autoSpaceDE w:val="0"/>
        <w:autoSpaceDN w:val="0"/>
        <w:adjustRightInd w:val="0"/>
        <w:spacing w:before="120"/>
        <w:ind w:firstLine="284"/>
        <w:jc w:val="both"/>
        <w:rPr>
          <w:rFonts w:eastAsia="SimSun"/>
          <w:szCs w:val="28"/>
        </w:rPr>
      </w:pPr>
      <w:r w:rsidRPr="00787BF1">
        <w:rPr>
          <w:rFonts w:eastAsia="SimSun"/>
          <w:szCs w:val="28"/>
        </w:rPr>
        <w:t>VĐQKT là một vùng biển đặc thù, trong đó có sự cân bằng về các quyền và quyền tài phán của quốc gia ven biển với các quyền và các quyền tự do của các quốc gia khác.</w:t>
      </w:r>
    </w:p>
    <w:p w:rsidR="001F1FBD" w:rsidRPr="00787BF1" w:rsidRDefault="001F1FBD" w:rsidP="001F1FBD">
      <w:pPr>
        <w:widowControl w:val="0"/>
        <w:autoSpaceDE w:val="0"/>
        <w:autoSpaceDN w:val="0"/>
        <w:adjustRightInd w:val="0"/>
        <w:spacing w:before="120"/>
        <w:ind w:firstLine="284"/>
        <w:jc w:val="both"/>
        <w:rPr>
          <w:rFonts w:eastAsia="SimSun"/>
          <w:szCs w:val="28"/>
        </w:rPr>
      </w:pPr>
      <w:r w:rsidRPr="00787BF1">
        <w:rPr>
          <w:rFonts w:eastAsia="SimSun"/>
          <w:szCs w:val="28"/>
        </w:rPr>
        <w:t xml:space="preserve">Theo các điều khoản của Công ước </w:t>
      </w:r>
      <w:r>
        <w:rPr>
          <w:rFonts w:eastAsia="SimSun"/>
          <w:szCs w:val="28"/>
        </w:rPr>
        <w:t>Liên hợp quốc</w:t>
      </w:r>
      <w:r w:rsidRPr="00787BF1">
        <w:rPr>
          <w:rFonts w:eastAsia="SimSun"/>
          <w:szCs w:val="28"/>
        </w:rPr>
        <w:t xml:space="preserve"> về</w:t>
      </w:r>
      <w:r>
        <w:rPr>
          <w:rFonts w:eastAsia="SimSun"/>
          <w:szCs w:val="28"/>
        </w:rPr>
        <w:t xml:space="preserve"> L</w:t>
      </w:r>
      <w:r w:rsidRPr="00787BF1">
        <w:rPr>
          <w:rFonts w:eastAsia="SimSun"/>
          <w:szCs w:val="28"/>
        </w:rPr>
        <w:t xml:space="preserve">uật biển </w:t>
      </w:r>
      <w:r>
        <w:rPr>
          <w:rFonts w:eastAsia="SimSun"/>
          <w:szCs w:val="28"/>
        </w:rPr>
        <w:t xml:space="preserve">năm </w:t>
      </w:r>
      <w:r w:rsidRPr="00787BF1">
        <w:rPr>
          <w:rFonts w:eastAsia="SimSun"/>
          <w:szCs w:val="28"/>
        </w:rPr>
        <w:t>1982, quốc gia ven biển có các quyền sau:</w:t>
      </w:r>
    </w:p>
    <w:p w:rsidR="001F1FBD" w:rsidRPr="00787BF1" w:rsidRDefault="001F1FBD" w:rsidP="001F1FBD">
      <w:pPr>
        <w:widowControl w:val="0"/>
        <w:autoSpaceDE w:val="0"/>
        <w:autoSpaceDN w:val="0"/>
        <w:adjustRightInd w:val="0"/>
        <w:spacing w:before="120"/>
        <w:ind w:firstLine="284"/>
        <w:jc w:val="both"/>
        <w:rPr>
          <w:rFonts w:eastAsia="SimSun"/>
          <w:szCs w:val="28"/>
        </w:rPr>
      </w:pPr>
      <w:r w:rsidRPr="00787BF1">
        <w:rPr>
          <w:rFonts w:eastAsia="SimSun"/>
          <w:szCs w:val="28"/>
        </w:rPr>
        <w:t>Các quyền thuộc chủ quyền về thăm dò, khai thác, bảo tồn và quản lý các tài nguyên thiên nhiên của vùng nước trên đáy biển cũng như của đáy biển và lòng đất dưới đáy biển. Các quyền này bao gồm: Các hoạt động thăm dò, khai thác vì mục tiêu kinh tế cũng như việc sản xuất năng lượng từ nước, dòng hải lưu và gió</w:t>
      </w:r>
      <w:r>
        <w:rPr>
          <w:rFonts w:eastAsia="SimSun"/>
          <w:szCs w:val="28"/>
        </w:rPr>
        <w:t>; q</w:t>
      </w:r>
      <w:r w:rsidRPr="00787BF1">
        <w:rPr>
          <w:rFonts w:eastAsia="SimSun"/>
          <w:szCs w:val="28"/>
        </w:rPr>
        <w:t xml:space="preserve">uyền tài phán về lắp đặt, sử dụng các đảo nhân tạo, các thiết bị và công trình nghiên cứu khoa học về biển; </w:t>
      </w:r>
      <w:r>
        <w:rPr>
          <w:rFonts w:eastAsia="SimSun"/>
          <w:szCs w:val="28"/>
        </w:rPr>
        <w:t>b</w:t>
      </w:r>
      <w:r w:rsidRPr="00787BF1">
        <w:rPr>
          <w:rFonts w:eastAsia="SimSun"/>
          <w:szCs w:val="28"/>
        </w:rPr>
        <w:t xml:space="preserve">ảo vệ và giữ gìn môi trường biển; </w:t>
      </w:r>
      <w:r>
        <w:rPr>
          <w:rFonts w:eastAsia="SimSun"/>
          <w:szCs w:val="28"/>
        </w:rPr>
        <w:t>c</w:t>
      </w:r>
      <w:r w:rsidRPr="00787BF1">
        <w:rPr>
          <w:rFonts w:eastAsia="SimSun"/>
          <w:szCs w:val="28"/>
        </w:rPr>
        <w:t>ác quyền và nghĩa vụ khác theo các điều khoản của Công ước.</w:t>
      </w:r>
    </w:p>
    <w:p w:rsidR="001F1FBD" w:rsidRPr="00787BF1" w:rsidRDefault="001F1FBD" w:rsidP="001F1FBD">
      <w:pPr>
        <w:widowControl w:val="0"/>
        <w:autoSpaceDE w:val="0"/>
        <w:autoSpaceDN w:val="0"/>
        <w:adjustRightInd w:val="0"/>
        <w:spacing w:before="120"/>
        <w:ind w:firstLine="284"/>
        <w:jc w:val="both"/>
        <w:rPr>
          <w:rFonts w:eastAsia="SimSun"/>
          <w:szCs w:val="28"/>
        </w:rPr>
      </w:pPr>
      <w:r w:rsidRPr="00787BF1">
        <w:rPr>
          <w:rFonts w:eastAsia="SimSun"/>
          <w:szCs w:val="28"/>
        </w:rPr>
        <w:t>Điều này có nghĩa là quốc gia ven biển có toàn quyền trong đánh giá tiềm năng của các nguồn tài nguyên cũng như thi hành các biện pháp thích hợp để bảo tồn, quản lý các nguồn tài nguyên này. Các tổ chức quốc tế có thẩm quyền chỉ có thể tham gia vào việc duy trì các nguồn lợi này ở "mức độ thích hợp". Tuy nhiên, nếu tổng khối lượng đánh bắt các nguồn tài nguyên sinh vật lớn hơn khả năng khai thác của quốc gia đó thì quốc gia này có nghĩa vụ "tạo điều kiện thuận lợi cho việc khai thác tối ưu các tài nguyên sinh vật của vùng đặc quyền kinh tế".</w:t>
      </w:r>
    </w:p>
    <w:p w:rsidR="001F1FBD" w:rsidRPr="00787BF1" w:rsidRDefault="001F1FBD" w:rsidP="001F1FBD">
      <w:pPr>
        <w:widowControl w:val="0"/>
        <w:autoSpaceDE w:val="0"/>
        <w:autoSpaceDN w:val="0"/>
        <w:adjustRightInd w:val="0"/>
        <w:spacing w:before="120"/>
        <w:ind w:firstLine="284"/>
        <w:jc w:val="both"/>
        <w:rPr>
          <w:rFonts w:eastAsia="SimSun"/>
          <w:szCs w:val="28"/>
        </w:rPr>
      </w:pPr>
      <w:r w:rsidRPr="00787BF1">
        <w:rPr>
          <w:rFonts w:eastAsia="SimSun"/>
          <w:szCs w:val="28"/>
        </w:rPr>
        <w:t>Trong VĐQKT, tất cả các quốc gia khác đều được hưởng các quyền sau (phải tuân thủ theo các điều khoản của Công ước này): Tự do hàng hải; Tự do hàng không; Tự do đặt ống dẫn ngầm và dây cáp.</w:t>
      </w:r>
    </w:p>
    <w:p w:rsidR="001F1FBD" w:rsidRPr="00787BF1" w:rsidRDefault="001F1FBD" w:rsidP="001F1FBD">
      <w:pPr>
        <w:widowControl w:val="0"/>
        <w:autoSpaceDE w:val="0"/>
        <w:autoSpaceDN w:val="0"/>
        <w:adjustRightInd w:val="0"/>
        <w:spacing w:before="120"/>
        <w:ind w:firstLine="284"/>
        <w:jc w:val="both"/>
        <w:rPr>
          <w:rFonts w:eastAsia="SimSun"/>
          <w:szCs w:val="28"/>
        </w:rPr>
      </w:pPr>
      <w:r w:rsidRPr="00787BF1">
        <w:rPr>
          <w:rFonts w:eastAsia="SimSun"/>
          <w:szCs w:val="28"/>
        </w:rPr>
        <w:t xml:space="preserve">Luật Biển của Việt Nam năm 2012 quy định, VĐQKT là vùng biển tiếp liền và nằm ngoài lãnh hải Việt Nam, hợp với lãnh hải thành một vùng biển có chiều rộng 200 hải lý tính từ đường cơ sở. Luật Biển Việt Nam quy định về chế độ pháp lý của vùng đặc quyền kinh tế: Trong VĐQKT, Nhà nước thực hiệnquyền chủ quyền về việc thăm dò, khai thác, quản lý và bảo tồn tài nguyên thuộc vùng nước bên trên đáy biển, đáy biển và lòng đất dưới đáy biển; về các hoạt động khác nhằm thăm dò, khai thác vùng này vì mục đích kinh tế; Quyền tài phán quốc gia về lắp đặt và sử dụng đảo nhân tạo, thiết bị và công trình trên biển; nghiên cứu khoa học biển, bảo vệ và gìn giữ môi trường biển; Các quyền và nghĩa vụ khác phù hợp với pháp luật quốc tế. Nhà nước tôn trọng quyền tự do hàng hải, hàng không; quyền đặt dây cáp, ống dẫn ngầm và hoạt động sử dụng biển hợp pháp của các quốc gia khác trong VĐQKT của Việt Nam theo quy định của Luật Biển Việt Nam và điều ước quốc tế mà nước Cộng hòa xã hội chủ nghĩa Việt Nam là thành viên, không làm phương hại đến quyền chủ quyền, quyền tài phán quốc gia và lợi ích quốc gia trên biển của Việt Nam. Việc lắp đặt dây cáp và ống dẫn ngầm phải có sự chấp thuận bằng văn bản của cơ quan nhà nước có thẩm quyền của Việt Nam. Tổ chức, cá nhân nước ngoài được tham gia thăm dò, sử dụng, khai thác tài nguyên, nghiên cứu khoa học, lắp đặt các thiết bị và công trình trong VĐQKT của Việt Nam trên cơ sở các điều ước quốc tế mà nước Cộng hòa xã hội chủ nghĩa Việt Nam là thành viên, hợp đồng được ký kết theo quy định của pháp luật Việt Nam hoặc được phép </w:t>
      </w:r>
      <w:r w:rsidRPr="00787BF1">
        <w:rPr>
          <w:rFonts w:eastAsia="SimSun"/>
          <w:szCs w:val="28"/>
        </w:rPr>
        <w:lastRenderedPageBreak/>
        <w:t>của Chính phủ Việt Nam, phù hợp với pháp luật quốc tế có liên quan. Các quyền có liên quan đến đáy biển và lòng đất dưới đáy biển quy định tại Luật Biển Việt Nam về thềm lục địa và quy chế pháp lý của thềm lục địa.</w:t>
      </w:r>
    </w:p>
    <w:p w:rsidR="001F1FBD" w:rsidRPr="00787BF1" w:rsidRDefault="001F1FBD" w:rsidP="001F1FBD">
      <w:pPr>
        <w:widowControl w:val="0"/>
        <w:autoSpaceDE w:val="0"/>
        <w:autoSpaceDN w:val="0"/>
        <w:adjustRightInd w:val="0"/>
        <w:spacing w:before="120"/>
        <w:ind w:firstLine="284"/>
        <w:jc w:val="right"/>
        <w:rPr>
          <w:rFonts w:eastAsia="SimSun"/>
          <w:b/>
          <w:caps/>
          <w:sz w:val="22"/>
          <w:szCs w:val="28"/>
        </w:rPr>
      </w:pPr>
      <w:r w:rsidRPr="00787BF1">
        <w:rPr>
          <w:rFonts w:eastAsia="SimSun"/>
          <w:b/>
          <w:caps/>
          <w:sz w:val="22"/>
          <w:szCs w:val="28"/>
        </w:rPr>
        <w:t>NGUYỄN ĐỨC MINH</w:t>
      </w:r>
    </w:p>
    <w:p w:rsidR="001F1FBD" w:rsidRPr="00787BF1" w:rsidRDefault="001F1FBD" w:rsidP="001F1FBD">
      <w:pPr>
        <w:widowControl w:val="0"/>
        <w:autoSpaceDE w:val="0"/>
        <w:autoSpaceDN w:val="0"/>
        <w:adjustRightInd w:val="0"/>
        <w:spacing w:before="120"/>
        <w:ind w:firstLine="284"/>
        <w:jc w:val="both"/>
        <w:rPr>
          <w:rFonts w:eastAsia="SimSun"/>
          <w:b/>
          <w:sz w:val="24"/>
          <w:szCs w:val="24"/>
        </w:rPr>
      </w:pPr>
      <w:r w:rsidRPr="00787BF1">
        <w:rPr>
          <w:rFonts w:eastAsia="SimSun"/>
          <w:b/>
          <w:sz w:val="24"/>
          <w:szCs w:val="24"/>
        </w:rPr>
        <w:t>Tài liệu tham khảo:</w:t>
      </w:r>
    </w:p>
    <w:p w:rsidR="001F1FBD" w:rsidRPr="00787BF1" w:rsidRDefault="001F1FBD" w:rsidP="001F1FBD">
      <w:pPr>
        <w:widowControl w:val="0"/>
        <w:numPr>
          <w:ilvl w:val="0"/>
          <w:numId w:val="1"/>
        </w:numPr>
        <w:tabs>
          <w:tab w:val="left" w:pos="567"/>
        </w:tabs>
        <w:autoSpaceDE w:val="0"/>
        <w:autoSpaceDN w:val="0"/>
        <w:adjustRightInd w:val="0"/>
        <w:spacing w:before="120"/>
        <w:ind w:left="0" w:firstLine="284"/>
        <w:contextualSpacing/>
        <w:jc w:val="both"/>
        <w:rPr>
          <w:rFonts w:eastAsia="SimSun"/>
          <w:sz w:val="24"/>
          <w:szCs w:val="24"/>
        </w:rPr>
      </w:pPr>
      <w:r w:rsidRPr="00787BF1">
        <w:rPr>
          <w:rFonts w:eastAsia="SimSun"/>
          <w:i/>
          <w:sz w:val="24"/>
          <w:szCs w:val="24"/>
        </w:rPr>
        <w:t xml:space="preserve">Công ước của </w:t>
      </w:r>
      <w:r>
        <w:rPr>
          <w:rFonts w:eastAsia="SimSun"/>
          <w:i/>
          <w:sz w:val="24"/>
          <w:szCs w:val="24"/>
        </w:rPr>
        <w:t>Liên hợp quốc</w:t>
      </w:r>
      <w:r w:rsidRPr="00787BF1">
        <w:rPr>
          <w:rFonts w:eastAsia="SimSun"/>
          <w:i/>
          <w:sz w:val="24"/>
          <w:szCs w:val="24"/>
        </w:rPr>
        <w:t xml:space="preserve"> về Luật biển</w:t>
      </w:r>
      <w:r w:rsidRPr="00787BF1">
        <w:rPr>
          <w:rFonts w:eastAsia="SimSun"/>
          <w:sz w:val="24"/>
          <w:szCs w:val="24"/>
        </w:rPr>
        <w:t>, Nxb. Chính trị quốc gia, Hà Nội, 2014.</w:t>
      </w:r>
    </w:p>
    <w:p w:rsidR="001F1FBD" w:rsidRPr="00787BF1" w:rsidRDefault="001F1FBD" w:rsidP="001F1FBD">
      <w:pPr>
        <w:widowControl w:val="0"/>
        <w:numPr>
          <w:ilvl w:val="0"/>
          <w:numId w:val="1"/>
        </w:numPr>
        <w:tabs>
          <w:tab w:val="left" w:pos="567"/>
        </w:tabs>
        <w:autoSpaceDE w:val="0"/>
        <w:autoSpaceDN w:val="0"/>
        <w:adjustRightInd w:val="0"/>
        <w:spacing w:before="120"/>
        <w:ind w:left="0" w:firstLine="284"/>
        <w:contextualSpacing/>
        <w:jc w:val="both"/>
        <w:rPr>
          <w:rFonts w:eastAsia="SimSun"/>
          <w:sz w:val="24"/>
          <w:szCs w:val="24"/>
        </w:rPr>
      </w:pPr>
      <w:r w:rsidRPr="00787BF1">
        <w:rPr>
          <w:rFonts w:eastAsia="SimSun"/>
          <w:sz w:val="24"/>
          <w:szCs w:val="24"/>
        </w:rPr>
        <w:t>Luật Biển Việt Nam năm 2012.</w:t>
      </w:r>
    </w:p>
    <w:p w:rsidR="001F1FBD" w:rsidRPr="00787BF1" w:rsidRDefault="001F1FBD" w:rsidP="001F1FBD">
      <w:pPr>
        <w:widowControl w:val="0"/>
        <w:numPr>
          <w:ilvl w:val="0"/>
          <w:numId w:val="1"/>
        </w:numPr>
        <w:tabs>
          <w:tab w:val="left" w:pos="567"/>
        </w:tabs>
        <w:autoSpaceDE w:val="0"/>
        <w:autoSpaceDN w:val="0"/>
        <w:adjustRightInd w:val="0"/>
        <w:spacing w:before="120"/>
        <w:ind w:left="0" w:firstLine="284"/>
        <w:contextualSpacing/>
        <w:jc w:val="both"/>
        <w:rPr>
          <w:rFonts w:eastAsia="SimSun"/>
          <w:sz w:val="24"/>
          <w:szCs w:val="24"/>
        </w:rPr>
      </w:pPr>
      <w:r w:rsidRPr="00787BF1">
        <w:rPr>
          <w:rFonts w:eastAsia="SimSun"/>
          <w:sz w:val="24"/>
          <w:szCs w:val="24"/>
        </w:rPr>
        <w:t xml:space="preserve">Trung tâm Thông tin công tác tư tưởng - Cục Chính trị Quân chủng Hải quân, </w:t>
      </w:r>
      <w:r w:rsidRPr="00787BF1">
        <w:rPr>
          <w:rFonts w:eastAsia="SimSun"/>
          <w:i/>
          <w:sz w:val="24"/>
          <w:szCs w:val="24"/>
        </w:rPr>
        <w:t>Biển và hải đảo Việt Nam</w:t>
      </w:r>
      <w:r w:rsidRPr="00787BF1">
        <w:rPr>
          <w:rFonts w:eastAsia="SimSun"/>
          <w:sz w:val="24"/>
          <w:szCs w:val="24"/>
        </w:rPr>
        <w:t>, Hà Nội, 2007.</w:t>
      </w:r>
    </w:p>
    <w:p w:rsidR="001F1FBD" w:rsidRPr="00787BF1" w:rsidRDefault="001F1FBD" w:rsidP="001F1FBD">
      <w:pPr>
        <w:pStyle w:val="ListParagraph"/>
        <w:widowControl w:val="0"/>
        <w:numPr>
          <w:ilvl w:val="0"/>
          <w:numId w:val="1"/>
        </w:numPr>
        <w:tabs>
          <w:tab w:val="left" w:pos="567"/>
        </w:tabs>
        <w:autoSpaceDE w:val="0"/>
        <w:autoSpaceDN w:val="0"/>
        <w:adjustRightInd w:val="0"/>
        <w:spacing w:before="120"/>
        <w:ind w:left="0" w:firstLine="284"/>
        <w:jc w:val="both"/>
        <w:rPr>
          <w:rFonts w:eastAsia="SimSun"/>
          <w:sz w:val="24"/>
          <w:szCs w:val="24"/>
        </w:rPr>
      </w:pPr>
      <w:r w:rsidRPr="00787BF1">
        <w:rPr>
          <w:rFonts w:eastAsia="SimSun"/>
          <w:sz w:val="24"/>
          <w:szCs w:val="24"/>
        </w:rPr>
        <w:t xml:space="preserve">Hoàng Ngọc Giao </w:t>
      </w:r>
      <w:r>
        <w:rPr>
          <w:rFonts w:eastAsia="SimSun"/>
          <w:sz w:val="24"/>
          <w:szCs w:val="24"/>
        </w:rPr>
        <w:t>(chủ biên)</w:t>
      </w:r>
      <w:r w:rsidRPr="00787BF1">
        <w:rPr>
          <w:rFonts w:eastAsia="SimSun"/>
          <w:sz w:val="24"/>
          <w:szCs w:val="24"/>
        </w:rPr>
        <w:t xml:space="preserve">, </w:t>
      </w:r>
      <w:r w:rsidRPr="00787BF1">
        <w:rPr>
          <w:rFonts w:eastAsia="SimSun"/>
          <w:i/>
          <w:sz w:val="24"/>
          <w:szCs w:val="24"/>
        </w:rPr>
        <w:t>Sổ tay pháp lý cho người đi biển</w:t>
      </w:r>
      <w:r w:rsidRPr="00787BF1">
        <w:rPr>
          <w:rFonts w:eastAsia="SimSun"/>
          <w:sz w:val="24"/>
          <w:szCs w:val="24"/>
        </w:rPr>
        <w:t>, Nxb. Chính trị quốc gia, Hà Nội, 2002.</w:t>
      </w:r>
    </w:p>
    <w:p w:rsidR="001F1FBD" w:rsidRPr="00787BF1" w:rsidRDefault="001F1FBD" w:rsidP="001F1FBD">
      <w:pPr>
        <w:widowControl w:val="0"/>
        <w:numPr>
          <w:ilvl w:val="0"/>
          <w:numId w:val="1"/>
        </w:numPr>
        <w:tabs>
          <w:tab w:val="left" w:pos="567"/>
        </w:tabs>
        <w:autoSpaceDE w:val="0"/>
        <w:autoSpaceDN w:val="0"/>
        <w:adjustRightInd w:val="0"/>
        <w:spacing w:before="120"/>
        <w:ind w:left="0" w:firstLine="284"/>
        <w:contextualSpacing/>
        <w:jc w:val="both"/>
        <w:rPr>
          <w:rFonts w:eastAsia="SimSun"/>
          <w:b/>
          <w:bCs/>
          <w:sz w:val="24"/>
          <w:szCs w:val="24"/>
          <w:lang w:val="pt-BR"/>
        </w:rPr>
      </w:pPr>
      <w:r w:rsidRPr="00787BF1">
        <w:rPr>
          <w:rFonts w:eastAsia="SimSun"/>
          <w:sz w:val="24"/>
          <w:szCs w:val="24"/>
        </w:rPr>
        <w:t xml:space="preserve">Johnston, Douglas M., Saunders, Phillip M., </w:t>
      </w:r>
      <w:r w:rsidRPr="00787BF1">
        <w:rPr>
          <w:rFonts w:eastAsia="SimSun"/>
          <w:i/>
          <w:sz w:val="24"/>
          <w:szCs w:val="24"/>
        </w:rPr>
        <w:t>Ocean Boundary Making: Regional Issues and Developments</w:t>
      </w:r>
      <w:r w:rsidRPr="00787BF1">
        <w:rPr>
          <w:rFonts w:eastAsia="SimSun"/>
          <w:sz w:val="24"/>
          <w:szCs w:val="24"/>
        </w:rPr>
        <w:t>, Taylor &amp; Francis, 1988.</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0645E"/>
    <w:multiLevelType w:val="hybridMultilevel"/>
    <w:tmpl w:val="18A03762"/>
    <w:lvl w:ilvl="0" w:tplc="F6967EAC">
      <w:start w:val="1"/>
      <w:numFmt w:val="decimal"/>
      <w:lvlText w:val="%1."/>
      <w:lvlJc w:val="left"/>
      <w:pPr>
        <w:ind w:left="644" w:hanging="360"/>
      </w:pPr>
      <w:rPr>
        <w:rFonts w:hint="default"/>
        <w:b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FBD"/>
    <w:rsid w:val="001324E1"/>
    <w:rsid w:val="001F1FBD"/>
    <w:rsid w:val="005630BE"/>
    <w:rsid w:val="00666C5C"/>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77A97-CF17-4BB5-9B24-3F221D6D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FBD"/>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1F1FBD"/>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1F1FBD"/>
    <w:rPr>
      <w:rFonts w:eastAsia="Calibri"/>
      <w:b w:val="0"/>
      <w:iCs/>
    </w:rPr>
  </w:style>
  <w:style w:type="paragraph" w:styleId="ListParagraph">
    <w:name w:val="List Paragraph"/>
    <w:basedOn w:val="Normal"/>
    <w:uiPriority w:val="34"/>
    <w:qFormat/>
    <w:rsid w:val="001F1FBD"/>
    <w:pPr>
      <w:ind w:left="720"/>
      <w:contextualSpacing/>
    </w:pPr>
    <w:rPr>
      <w:rFonts w:eastAsia="Times New Roman"/>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2025-12-15T05:02:00Z</dcterms:created>
  <dcterms:modified xsi:type="dcterms:W3CDTF">2025-12-15T05:03:00Z</dcterms:modified>
</cp:coreProperties>
</file>